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6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24"/>
        <w:gridCol w:w="4842"/>
      </w:tblGrid>
      <w:tr>
        <w:trPr>
          <w:trHeight w:val="1757" w:hRule="atLeast"/>
        </w:trPr>
        <w:tc>
          <w:tcPr>
            <w:tcW w:w="4424" w:type="dxa"/>
            <w:tcBorders/>
            <w:shd w:color="auto" w:fill="auto" w:val="clear"/>
          </w:tcPr>
          <w:p>
            <w:pPr>
              <w:pStyle w:val="Style19"/>
              <w:widowControl w:val="false"/>
              <w:rPr/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-13970</wp:posOffset>
                  </wp:positionV>
                  <wp:extent cx="1680210" cy="631190"/>
                  <wp:effectExtent l="0" t="0" r="0" b="0"/>
                  <wp:wrapNone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lang w:val="en-US"/>
              </w:rPr>
              <w:t xml:space="preserve">  </w:t>
            </w:r>
          </w:p>
          <w:p>
            <w:pPr>
              <w:pStyle w:val="Style19"/>
              <w:widowControl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Style19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</w:rPr>
              <w:t>ООО «ПромКомплектСервис»</w:t>
            </w:r>
          </w:p>
          <w:p>
            <w:pPr>
              <w:pStyle w:val="Style19"/>
              <w:widowControl w:val="false"/>
              <w:spacing w:before="0" w:after="0"/>
              <w:rPr/>
            </w:pPr>
            <w:hyperlink r:id="rId4">
              <w:r>
                <w:drawing>
                  <wp:anchor behindDoc="0" distT="0" distB="0" distL="0" distR="0" simplePos="0" locked="0" layoutInCell="1" allowOverlap="1" relativeHeight="2">
                    <wp:simplePos x="0" y="0"/>
                    <wp:positionH relativeFrom="column">
                      <wp:posOffset>3429000</wp:posOffset>
                    </wp:positionH>
                    <wp:positionV relativeFrom="paragraph">
                      <wp:posOffset>-930910</wp:posOffset>
                    </wp:positionV>
                    <wp:extent cx="2402840" cy="555625"/>
                    <wp:effectExtent l="0" t="0" r="0" b="0"/>
                    <wp:wrapNone/>
                    <wp:docPr id="2" name="Изображение1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Изображение1" descr="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02840" cy="5556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rStyle w:val="-"/>
                  <w:b/>
                  <w:bCs/>
                  <w:sz w:val="28"/>
                  <w:szCs w:val="28"/>
                </w:rPr>
                <w:t>www.promks63.ru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42" w:type="dxa"/>
            <w:tcBorders/>
            <w:shd w:color="auto" w:fill="auto" w:val="clear"/>
          </w:tcPr>
          <w:p>
            <w:pPr>
              <w:pStyle w:val="Style19"/>
              <w:widowControl w:val="false"/>
              <w:spacing w:before="0" w:after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19"/>
              <w:widowControl w:val="false"/>
              <w:spacing w:before="0" w:after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19"/>
              <w:widowControl w:val="false"/>
              <w:spacing w:before="0"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Style19"/>
              <w:widowControl w:val="false"/>
              <w:spacing w:before="0" w:after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ООО «ВЫМПЕЛГАЗ»</w:t>
            </w:r>
          </w:p>
          <w:p>
            <w:pPr>
              <w:pStyle w:val="Style19"/>
              <w:widowControl w:val="false"/>
              <w:spacing w:before="0" w:after="0"/>
              <w:jc w:val="right"/>
              <w:rPr>
                <w:b/>
                <w:bCs/>
                <w:sz w:val="28"/>
                <w:szCs w:val="28"/>
              </w:rPr>
            </w:pPr>
            <w:hyperlink r:id="rId5">
              <w:r>
                <w:rPr>
                  <w:rStyle w:val="-"/>
                  <w:b/>
                  <w:bCs/>
                  <w:sz w:val="28"/>
                  <w:szCs w:val="28"/>
                  <w:lang w:val="en-US"/>
                </w:rPr>
                <w:t>www</w:t>
              </w:r>
              <w:r>
                <w:rPr>
                  <w:rStyle w:val="-"/>
                  <w:b/>
                  <w:bCs/>
                  <w:sz w:val="28"/>
                  <w:szCs w:val="28"/>
                </w:rPr>
                <w:t>.</w:t>
              </w:r>
              <w:r>
                <w:rPr>
                  <w:rStyle w:val="-"/>
                  <w:b/>
                  <w:bCs/>
                  <w:sz w:val="28"/>
                  <w:szCs w:val="28"/>
                  <w:lang w:val="en-US"/>
                </w:rPr>
                <w:t>viempelgroup</w:t>
              </w:r>
              <w:r>
                <w:rPr>
                  <w:rStyle w:val="-"/>
                  <w:b/>
                  <w:bCs/>
                  <w:sz w:val="28"/>
                  <w:szCs w:val="28"/>
                </w:rPr>
                <w:t>.</w:t>
              </w:r>
              <w:r>
                <w:rPr>
                  <w:rStyle w:val="-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/>
      </w:pPr>
      <w:r>
        <w:rPr>
          <w:b/>
        </w:rPr>
        <w:t xml:space="preserve">  </w:t>
      </w:r>
      <w:hyperlink r:id="rId6">
        <w:r>
          <w:rPr>
            <w:rStyle w:val="-"/>
            <w:b/>
            <w:lang w:val="en-US"/>
          </w:rPr>
          <w:t>pks</w:t>
        </w:r>
        <w:r>
          <w:rPr>
            <w:rStyle w:val="-"/>
            <w:b/>
          </w:rPr>
          <w:t>63@</w:t>
        </w:r>
        <w:r>
          <w:rPr>
            <w:rStyle w:val="-"/>
            <w:b/>
            <w:lang w:val="en-US"/>
          </w:rPr>
          <w:t>yandex</w:t>
        </w:r>
        <w:r>
          <w:rPr>
            <w:rStyle w:val="-"/>
            <w:b/>
          </w:rPr>
          <w:t>.</w:t>
        </w:r>
        <w:r>
          <w:rPr>
            <w:rStyle w:val="-"/>
            <w:b/>
            <w:lang w:val="en-US"/>
          </w:rPr>
          <w:t>ru</w:t>
        </w:r>
      </w:hyperlink>
      <w:r>
        <w:rPr>
          <w:b/>
        </w:rPr>
        <w:t xml:space="preserve">                                                                                          </w:t>
      </w:r>
      <w:hyperlink r:id="rId7">
        <w:r>
          <w:rPr>
            <w:rStyle w:val="-"/>
            <w:b/>
            <w:sz w:val="24"/>
            <w:szCs w:val="24"/>
            <w:lang w:val="en-US"/>
          </w:rPr>
          <w:t>Viempel</w:t>
        </w:r>
        <w:r>
          <w:rPr>
            <w:rStyle w:val="-"/>
            <w:b/>
            <w:sz w:val="24"/>
            <w:szCs w:val="24"/>
          </w:rPr>
          <w:t>.</w:t>
        </w:r>
        <w:r>
          <w:rPr>
            <w:rStyle w:val="-"/>
            <w:b/>
            <w:sz w:val="24"/>
            <w:szCs w:val="24"/>
            <w:lang w:val="en-US"/>
          </w:rPr>
          <w:t>gas</w:t>
        </w:r>
        <w:r>
          <w:rPr>
            <w:rStyle w:val="-"/>
            <w:b/>
            <w:sz w:val="24"/>
            <w:szCs w:val="24"/>
          </w:rPr>
          <w:t>@</w:t>
        </w:r>
        <w:r>
          <w:rPr>
            <w:rStyle w:val="-"/>
            <w:b/>
            <w:sz w:val="24"/>
            <w:szCs w:val="24"/>
            <w:lang w:val="en-US"/>
          </w:rPr>
          <w:t>viempelgroup</w:t>
        </w:r>
        <w:r>
          <w:rPr>
            <w:rStyle w:val="-"/>
            <w:b/>
            <w:sz w:val="24"/>
            <w:szCs w:val="24"/>
          </w:rPr>
          <w:t>.</w:t>
        </w:r>
        <w:r>
          <w:rPr>
            <w:rStyle w:val="-"/>
            <w:b/>
            <w:sz w:val="24"/>
            <w:szCs w:val="24"/>
            <w:lang w:val="en-US"/>
          </w:rPr>
          <w:t>ru</w:t>
        </w:r>
      </w:hyperlink>
      <w:r>
        <w:rPr>
          <w:b/>
          <w:sz w:val="24"/>
          <w:szCs w:val="24"/>
        </w:rPr>
        <w:t xml:space="preserve"> </w:t>
      </w:r>
      <w:r>
        <w:rPr>
          <w:b/>
        </w:rPr>
        <w:t xml:space="preserve">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Первый конкурс котельных малых городов и сельских поселений проходит в Самарской области  </w:t>
      </w:r>
    </w:p>
    <w:p>
      <w:pPr>
        <w:pStyle w:val="Normal"/>
        <w:rPr/>
      </w:pPr>
      <w:r>
        <w:rPr/>
        <w:t>Конкурс котельных малых городов и сельских поселений «Надежное тепло»  стартовал  в регионе  в июне  2023 года.  Он  организован   компаниями  ООО  «ПромКомплекСервис» и ООО «Вымпелгаз», обслуживающими  котельные,  принадлежащие  малым и  средним  предприятиям региона.  Конкурс проводится при поддержке администраций малых городов и сельских поселений  Самарской области  и  Союза  Торгово -  промышленной  палаты Самарской области.</w:t>
      </w:r>
    </w:p>
    <w:p>
      <w:pPr>
        <w:pStyle w:val="Normal"/>
        <w:rPr/>
      </w:pPr>
      <w:r>
        <w:rPr/>
        <w:t>Собственникам  небольших  котельных   школ, детских садов, УК,  и   предприятий в  малых городах  и сельских поселениях  области  финансово сложно содержать постоянный  штат эксплуатационного  персонала  и регулярно обновлять  дорогостоящее оборудование современных теплопунктов. Им необходима помощь в оценке состояния действующего оснащения в ходе  летней ремонтной компании и приобретении современной техники  для обновления котельных.</w:t>
      </w:r>
    </w:p>
    <w:p>
      <w:pPr>
        <w:pStyle w:val="Normal"/>
        <w:rPr/>
      </w:pPr>
      <w:r>
        <w:rPr/>
        <w:t>В настоящее время уже  78  котельных,  прошли  отборочный этап и  стали  номинантами   конкурса   «Надежное тепло». При отборе участников  учитывалось такие основные критерии как: техническое состояние приборов котельной, экономичность его работы,  качество подаваемого потребителям теплоносителя, внешнее и внутреннее благоустройство, антитеррористическая защищенность</w:t>
      </w:r>
      <w:bookmarkStart w:id="0" w:name="_GoBack"/>
      <w:bookmarkEnd w:id="0"/>
      <w:r>
        <w:rPr/>
        <w:t xml:space="preserve">. </w:t>
      </w:r>
    </w:p>
    <w:p>
      <w:pPr>
        <w:pStyle w:val="Normal"/>
        <w:rPr/>
      </w:pPr>
      <w:r>
        <w:rPr/>
        <w:t>Все  котельные,  прошедшие отбор,   получили   своевременную  экспертную оценку состояния своего оборудования, что поможет им более рационально продолжить  летную ремонтную компанию и подготовку  к отопительному сезону.  Победителям  конкурса  установят дорогостоящие приборы учета газа российского производства, которые позволят владельцам  котельных экономить средства в зимнее время  при  оплате  потребленного энергоресурса.</w:t>
      </w:r>
    </w:p>
    <w:p>
      <w:pPr>
        <w:pStyle w:val="Normal"/>
        <w:rPr/>
      </w:pPr>
      <w:r>
        <w:rPr/>
        <w:t xml:space="preserve"> </w:t>
      </w:r>
      <w:r>
        <w:rPr/>
        <w:t xml:space="preserve">Участие в конкурсе бесплатно. Итоги конкурса будут  подведены в  конце августе,  перед началом отопительного сезона. </w:t>
      </w:r>
    </w:p>
    <w:p>
      <w:pPr>
        <w:pStyle w:val="Normal"/>
        <w:spacing w:before="0" w:after="0"/>
        <w:rPr/>
      </w:pPr>
      <w:r>
        <w:rPr/>
        <w:t>Ознакомиться с условиями конкурса можно   по ссылке: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hyperlink r:id="rId8">
        <w:r>
          <w:rPr>
            <w:rStyle w:val="-"/>
          </w:rPr>
          <w:t>https://promks63.ru/novosti/polozhenie-o-konkurse-nadezhnoe-teplo/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b/>
          <w:bCs/>
        </w:rPr>
      </w:pPr>
      <w:r>
        <w:rPr>
          <w:b/>
          <w:bCs/>
        </w:rPr>
        <w:t xml:space="preserve">т. 8-927-706-16-86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7a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 w:customStyle="1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promks63.ru/" TargetMode="External"/><Relationship Id="rId5" Type="http://schemas.openxmlformats.org/officeDocument/2006/relationships/hyperlink" Target="http://www.viempelgroup.ru/" TargetMode="External"/><Relationship Id="rId6" Type="http://schemas.openxmlformats.org/officeDocument/2006/relationships/hyperlink" Target="mailto:pks63@yandex.ru" TargetMode="External"/><Relationship Id="rId7" Type="http://schemas.openxmlformats.org/officeDocument/2006/relationships/hyperlink" Target="mailto:lawyer@viempelgroup.ru" TargetMode="External"/><Relationship Id="rId8" Type="http://schemas.openxmlformats.org/officeDocument/2006/relationships/hyperlink" Target="https://promks63.ru/novosti/polozhenie-o-konkurse-nadezhnoe-teplo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234</Words>
  <Characters>1833</Characters>
  <CharactersWithSpaces>2242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2023-07-04T05:54:00Z</dcterms:created>
  <dc:creator>Дача</dc:creator>
  <dc:description/>
  <dc:language>ru-RU</dc:language>
  <cp:lastModifiedBy/>
  <dcterms:modified xsi:type="dcterms:W3CDTF">2023-07-04T11:08:04Z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